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B7B8D" w14:textId="77777777" w:rsidR="004F19CB" w:rsidRDefault="006D33CA">
      <w:pPr>
        <w:spacing w:after="240"/>
        <w:jc w:val="center"/>
      </w:pPr>
      <w:r>
        <w:rPr>
          <w:b/>
          <w:sz w:val="28"/>
        </w:rPr>
        <w:t>Supplementary Material</w:t>
      </w:r>
    </w:p>
    <w:p w14:paraId="24EFAF4F" w14:textId="3C95BFB5" w:rsidR="004F19CB" w:rsidRDefault="006D33CA">
      <w:pPr>
        <w:spacing w:before="120" w:after="120"/>
      </w:pPr>
      <w:r>
        <w:rPr>
          <w:b/>
        </w:rPr>
        <w:t>Supplementary Table 1. Summary of MR results for prioritized genes across omics layers.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1758"/>
        <w:gridCol w:w="1758"/>
        <w:gridCol w:w="1758"/>
        <w:gridCol w:w="1758"/>
        <w:gridCol w:w="1758"/>
        <w:gridCol w:w="1627"/>
        <w:gridCol w:w="1492"/>
        <w:gridCol w:w="2155"/>
      </w:tblGrid>
      <w:tr w:rsidR="004F19CB" w14:paraId="1D568220" w14:textId="77777777">
        <w:trPr>
          <w:tblHeader/>
          <w:jc w:val="center"/>
        </w:trPr>
        <w:tc>
          <w:tcPr>
            <w:tcW w:w="1758" w:type="dxa"/>
            <w:shd w:val="clear" w:color="auto" w:fill="5B1B1D"/>
            <w:vAlign w:val="center"/>
          </w:tcPr>
          <w:p w14:paraId="1A25306F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5"/>
              </w:rPr>
              <w:t>Gene</w:t>
            </w:r>
          </w:p>
        </w:tc>
        <w:tc>
          <w:tcPr>
            <w:tcW w:w="1758" w:type="dxa"/>
            <w:shd w:val="clear" w:color="auto" w:fill="5B1B1D"/>
            <w:vAlign w:val="center"/>
          </w:tcPr>
          <w:p w14:paraId="1FBFD7C9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5"/>
              </w:rPr>
              <w:t>Omics layer</w:t>
            </w:r>
          </w:p>
        </w:tc>
        <w:tc>
          <w:tcPr>
            <w:tcW w:w="1758" w:type="dxa"/>
            <w:shd w:val="clear" w:color="auto" w:fill="5B1B1D"/>
            <w:vAlign w:val="center"/>
          </w:tcPr>
          <w:p w14:paraId="1DC5FC1C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5"/>
              </w:rPr>
              <w:t>No. of SNPs</w:t>
            </w:r>
          </w:p>
        </w:tc>
        <w:tc>
          <w:tcPr>
            <w:tcW w:w="1758" w:type="dxa"/>
            <w:shd w:val="clear" w:color="auto" w:fill="5B1B1D"/>
            <w:vAlign w:val="center"/>
          </w:tcPr>
          <w:p w14:paraId="4F657997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5"/>
              </w:rPr>
              <w:t xml:space="preserve">IVW OR (95% CI), </w:t>
            </w:r>
            <w:r>
              <w:rPr>
                <w:b/>
                <w:i/>
                <w:iCs/>
                <w:color w:val="FFFFFF"/>
                <w:sz w:val="15"/>
              </w:rPr>
              <w:t>P</w:t>
            </w:r>
          </w:p>
        </w:tc>
        <w:tc>
          <w:tcPr>
            <w:tcW w:w="1758" w:type="dxa"/>
            <w:shd w:val="clear" w:color="auto" w:fill="5B1B1D"/>
            <w:vAlign w:val="center"/>
          </w:tcPr>
          <w:p w14:paraId="02F67146" w14:textId="77777777" w:rsidR="004F19CB" w:rsidRDefault="006D33CA">
            <w:pPr>
              <w:spacing w:after="0" w:line="240" w:lineRule="auto"/>
              <w:jc w:val="center"/>
              <w:rPr>
                <w:b/>
                <w:color w:val="FFFFFF"/>
                <w:sz w:val="15"/>
              </w:rPr>
            </w:pPr>
            <w:r>
              <w:rPr>
                <w:b/>
                <w:color w:val="FFFFFF"/>
                <w:sz w:val="15"/>
              </w:rPr>
              <w:t xml:space="preserve">MR-Egger OR </w:t>
            </w:r>
          </w:p>
          <w:p w14:paraId="43642E9F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5"/>
              </w:rPr>
              <w:t xml:space="preserve">(95% CI), </w:t>
            </w:r>
            <w:r>
              <w:rPr>
                <w:b/>
                <w:i/>
                <w:iCs/>
                <w:color w:val="FFFFFF"/>
                <w:sz w:val="15"/>
              </w:rPr>
              <w:t>P</w:t>
            </w:r>
          </w:p>
        </w:tc>
        <w:tc>
          <w:tcPr>
            <w:tcW w:w="1758" w:type="dxa"/>
            <w:shd w:val="clear" w:color="auto" w:fill="5B1B1D"/>
            <w:vAlign w:val="center"/>
          </w:tcPr>
          <w:p w14:paraId="755D5956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5"/>
              </w:rPr>
              <w:t>Weighted median OR (95% CI),</w:t>
            </w:r>
            <w:r>
              <w:rPr>
                <w:b/>
                <w:i/>
                <w:iCs/>
                <w:color w:val="FFFFFF"/>
                <w:sz w:val="15"/>
              </w:rPr>
              <w:t xml:space="preserve"> P</w:t>
            </w:r>
          </w:p>
        </w:tc>
        <w:tc>
          <w:tcPr>
            <w:tcW w:w="1627" w:type="dxa"/>
            <w:shd w:val="clear" w:color="auto" w:fill="5B1B1D"/>
            <w:vAlign w:val="center"/>
          </w:tcPr>
          <w:p w14:paraId="19392557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5"/>
              </w:rPr>
              <w:t xml:space="preserve">IVW heterogeneity </w:t>
            </w:r>
            <w:r>
              <w:rPr>
                <w:b/>
                <w:i/>
                <w:iCs/>
                <w:color w:val="FFFFFF"/>
                <w:sz w:val="15"/>
              </w:rPr>
              <w:t>P</w:t>
            </w:r>
          </w:p>
        </w:tc>
        <w:tc>
          <w:tcPr>
            <w:tcW w:w="1492" w:type="dxa"/>
            <w:shd w:val="clear" w:color="auto" w:fill="5B1B1D"/>
            <w:vAlign w:val="center"/>
          </w:tcPr>
          <w:p w14:paraId="405A4010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5"/>
              </w:rPr>
              <w:t xml:space="preserve">Egger intercept </w:t>
            </w:r>
            <w:r>
              <w:rPr>
                <w:b/>
                <w:i/>
                <w:iCs/>
                <w:color w:val="FFFFFF"/>
                <w:sz w:val="15"/>
              </w:rPr>
              <w:t>P</w:t>
            </w:r>
          </w:p>
        </w:tc>
        <w:tc>
          <w:tcPr>
            <w:tcW w:w="2155" w:type="dxa"/>
            <w:shd w:val="clear" w:color="auto" w:fill="5B1B1D"/>
            <w:vAlign w:val="center"/>
          </w:tcPr>
          <w:p w14:paraId="61588E43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5"/>
              </w:rPr>
              <w:t>Notes / priority</w:t>
            </w:r>
          </w:p>
        </w:tc>
      </w:tr>
      <w:tr w:rsidR="004F19CB" w14:paraId="39E1BD88" w14:textId="77777777">
        <w:trPr>
          <w:jc w:val="center"/>
        </w:trPr>
        <w:tc>
          <w:tcPr>
            <w:tcW w:w="1758" w:type="dxa"/>
            <w:shd w:val="clear" w:color="auto" w:fill="FFF2CC"/>
            <w:vAlign w:val="center"/>
          </w:tcPr>
          <w:p w14:paraId="1ACABAAD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HMG20B</w:t>
            </w:r>
          </w:p>
        </w:tc>
        <w:tc>
          <w:tcPr>
            <w:tcW w:w="1758" w:type="dxa"/>
            <w:shd w:val="clear" w:color="auto" w:fill="FFF2CC"/>
            <w:vAlign w:val="center"/>
          </w:tcPr>
          <w:p w14:paraId="6E684966" w14:textId="77777777" w:rsidR="004F19CB" w:rsidRDefault="006D33CA">
            <w:pPr>
              <w:spacing w:after="0" w:line="240" w:lineRule="auto"/>
              <w:jc w:val="center"/>
            </w:pPr>
            <w:proofErr w:type="spellStart"/>
            <w:r>
              <w:rPr>
                <w:sz w:val="15"/>
              </w:rPr>
              <w:t>pQTL</w:t>
            </w:r>
            <w:proofErr w:type="spellEnd"/>
          </w:p>
        </w:tc>
        <w:tc>
          <w:tcPr>
            <w:tcW w:w="1758" w:type="dxa"/>
            <w:shd w:val="clear" w:color="auto" w:fill="FFF2CC"/>
            <w:vAlign w:val="center"/>
          </w:tcPr>
          <w:p w14:paraId="31D4C3FE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24</w:t>
            </w:r>
          </w:p>
        </w:tc>
        <w:tc>
          <w:tcPr>
            <w:tcW w:w="1758" w:type="dxa"/>
            <w:shd w:val="clear" w:color="auto" w:fill="FFF2CC"/>
            <w:vAlign w:val="center"/>
          </w:tcPr>
          <w:p w14:paraId="4A6FBD84" w14:textId="77777777" w:rsidR="004F19CB" w:rsidRDefault="006D33CA">
            <w:pPr>
              <w:spacing w:after="0" w:line="240" w:lineRule="auto"/>
              <w:jc w:val="center"/>
              <w:rPr>
                <w:sz w:val="15"/>
              </w:rPr>
            </w:pPr>
            <w:r>
              <w:rPr>
                <w:sz w:val="15"/>
              </w:rPr>
              <w:t>1.229 (1.026-1.472),</w:t>
            </w:r>
          </w:p>
          <w:p w14:paraId="3BC64D6A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5"/>
              </w:rPr>
              <w:t xml:space="preserve"> P</w:t>
            </w:r>
            <w:r>
              <w:rPr>
                <w:sz w:val="15"/>
              </w:rPr>
              <w:t xml:space="preserve"> = 0.0248</w:t>
            </w:r>
          </w:p>
        </w:tc>
        <w:tc>
          <w:tcPr>
            <w:tcW w:w="1758" w:type="dxa"/>
            <w:shd w:val="clear" w:color="auto" w:fill="FFF2CC"/>
            <w:vAlign w:val="center"/>
          </w:tcPr>
          <w:p w14:paraId="4194BAE4" w14:textId="77777777" w:rsidR="004F19CB" w:rsidRDefault="006D33CA">
            <w:pPr>
              <w:spacing w:after="0" w:line="240" w:lineRule="auto"/>
              <w:jc w:val="center"/>
              <w:rPr>
                <w:sz w:val="15"/>
              </w:rPr>
            </w:pPr>
            <w:r>
              <w:rPr>
                <w:sz w:val="15"/>
              </w:rPr>
              <w:t>1.487 (1.100-2.010),</w:t>
            </w:r>
          </w:p>
          <w:p w14:paraId="01D29F70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 </w:t>
            </w:r>
            <w:r>
              <w:rPr>
                <w:i/>
                <w:iCs/>
                <w:sz w:val="15"/>
              </w:rPr>
              <w:t>P</w:t>
            </w:r>
            <w:r>
              <w:rPr>
                <w:sz w:val="15"/>
              </w:rPr>
              <w:t xml:space="preserve"> = 0.0171</w:t>
            </w:r>
          </w:p>
        </w:tc>
        <w:tc>
          <w:tcPr>
            <w:tcW w:w="1758" w:type="dxa"/>
            <w:shd w:val="clear" w:color="auto" w:fill="FFF2CC"/>
            <w:vAlign w:val="center"/>
          </w:tcPr>
          <w:p w14:paraId="083B40AA" w14:textId="77777777" w:rsidR="004F19CB" w:rsidRDefault="006D33CA">
            <w:pPr>
              <w:spacing w:after="0" w:line="240" w:lineRule="auto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1.176 (0.943-1.468), </w:t>
            </w:r>
          </w:p>
          <w:p w14:paraId="642C7D58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5"/>
              </w:rPr>
              <w:t>P</w:t>
            </w:r>
            <w:r>
              <w:rPr>
                <w:sz w:val="15"/>
              </w:rPr>
              <w:t xml:space="preserve"> = 0.1502</w:t>
            </w:r>
          </w:p>
        </w:tc>
        <w:tc>
          <w:tcPr>
            <w:tcW w:w="1627" w:type="dxa"/>
            <w:shd w:val="clear" w:color="auto" w:fill="FFF2CC"/>
            <w:vAlign w:val="center"/>
          </w:tcPr>
          <w:p w14:paraId="19D183A9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0.0555</w:t>
            </w:r>
          </w:p>
        </w:tc>
        <w:tc>
          <w:tcPr>
            <w:tcW w:w="1492" w:type="dxa"/>
            <w:shd w:val="clear" w:color="auto" w:fill="FFF2CC"/>
            <w:vAlign w:val="center"/>
          </w:tcPr>
          <w:p w14:paraId="15B4A7C4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0.1428</w:t>
            </w:r>
          </w:p>
        </w:tc>
        <w:tc>
          <w:tcPr>
            <w:tcW w:w="2155" w:type="dxa"/>
            <w:shd w:val="clear" w:color="auto" w:fill="FFF2CC"/>
            <w:vAlign w:val="center"/>
          </w:tcPr>
          <w:p w14:paraId="4E94B49D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Primary </w:t>
            </w:r>
            <w:proofErr w:type="spellStart"/>
            <w:r>
              <w:rPr>
                <w:sz w:val="15"/>
              </w:rPr>
              <w:t>pQTL</w:t>
            </w:r>
            <w:proofErr w:type="spellEnd"/>
            <w:r>
              <w:rPr>
                <w:sz w:val="15"/>
              </w:rPr>
              <w:t xml:space="preserve"> evidence; interpret with caution because heterogeneity was borderline.</w:t>
            </w:r>
          </w:p>
        </w:tc>
      </w:tr>
      <w:tr w:rsidR="004F19CB" w14:paraId="1B64CB00" w14:textId="77777777">
        <w:trPr>
          <w:jc w:val="center"/>
        </w:trPr>
        <w:tc>
          <w:tcPr>
            <w:tcW w:w="1758" w:type="dxa"/>
            <w:shd w:val="clear" w:color="auto" w:fill="FFF2CC"/>
            <w:vAlign w:val="center"/>
          </w:tcPr>
          <w:p w14:paraId="2430E3B9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HDHD3</w:t>
            </w:r>
          </w:p>
        </w:tc>
        <w:tc>
          <w:tcPr>
            <w:tcW w:w="1758" w:type="dxa"/>
            <w:shd w:val="clear" w:color="auto" w:fill="FFF2CC"/>
            <w:vAlign w:val="center"/>
          </w:tcPr>
          <w:p w14:paraId="029CF778" w14:textId="77777777" w:rsidR="004F19CB" w:rsidRDefault="006D33CA">
            <w:pPr>
              <w:spacing w:after="0" w:line="240" w:lineRule="auto"/>
              <w:jc w:val="center"/>
            </w:pPr>
            <w:proofErr w:type="spellStart"/>
            <w:r>
              <w:rPr>
                <w:sz w:val="15"/>
              </w:rPr>
              <w:t>pQTL</w:t>
            </w:r>
            <w:proofErr w:type="spellEnd"/>
          </w:p>
        </w:tc>
        <w:tc>
          <w:tcPr>
            <w:tcW w:w="1758" w:type="dxa"/>
            <w:shd w:val="clear" w:color="auto" w:fill="FFF2CC"/>
            <w:vAlign w:val="center"/>
          </w:tcPr>
          <w:p w14:paraId="5ACE601A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20</w:t>
            </w:r>
          </w:p>
        </w:tc>
        <w:tc>
          <w:tcPr>
            <w:tcW w:w="1758" w:type="dxa"/>
            <w:shd w:val="clear" w:color="auto" w:fill="FFF2CC"/>
            <w:vAlign w:val="center"/>
          </w:tcPr>
          <w:p w14:paraId="3A49B76A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1.217 (1.075-1.377),</w:t>
            </w:r>
            <w:r>
              <w:rPr>
                <w:sz w:val="15"/>
              </w:rPr>
              <w:br/>
            </w:r>
            <w:r>
              <w:rPr>
                <w:i/>
                <w:iCs/>
                <w:sz w:val="15"/>
              </w:rPr>
              <w:t xml:space="preserve"> P</w:t>
            </w:r>
            <w:r>
              <w:rPr>
                <w:sz w:val="15"/>
              </w:rPr>
              <w:t xml:space="preserve"> = 0.0020</w:t>
            </w:r>
          </w:p>
        </w:tc>
        <w:tc>
          <w:tcPr>
            <w:tcW w:w="1758" w:type="dxa"/>
            <w:shd w:val="clear" w:color="auto" w:fill="FFF2CC"/>
            <w:vAlign w:val="center"/>
          </w:tcPr>
          <w:p w14:paraId="390E328D" w14:textId="77777777" w:rsidR="004F19CB" w:rsidRDefault="006D33CA">
            <w:pPr>
              <w:spacing w:after="0" w:line="240" w:lineRule="auto"/>
              <w:jc w:val="center"/>
              <w:rPr>
                <w:sz w:val="15"/>
              </w:rPr>
            </w:pPr>
            <w:r>
              <w:rPr>
                <w:sz w:val="15"/>
              </w:rPr>
              <w:t>1.143 (0.900-1.452),</w:t>
            </w:r>
          </w:p>
          <w:p w14:paraId="70B62B47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5"/>
              </w:rPr>
              <w:t xml:space="preserve"> P</w:t>
            </w:r>
            <w:r>
              <w:rPr>
                <w:sz w:val="15"/>
              </w:rPr>
              <w:t xml:space="preserve"> = 0.2862</w:t>
            </w:r>
          </w:p>
        </w:tc>
        <w:tc>
          <w:tcPr>
            <w:tcW w:w="1758" w:type="dxa"/>
            <w:shd w:val="clear" w:color="auto" w:fill="FFF2CC"/>
            <w:vAlign w:val="center"/>
          </w:tcPr>
          <w:p w14:paraId="17A73DC1" w14:textId="77777777" w:rsidR="004F19CB" w:rsidRDefault="006D33CA">
            <w:pPr>
              <w:spacing w:after="0" w:line="240" w:lineRule="auto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1.211 (1.031-1.423), </w:t>
            </w:r>
          </w:p>
          <w:p w14:paraId="05F8CB71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5"/>
              </w:rPr>
              <w:t>P</w:t>
            </w:r>
            <w:r>
              <w:rPr>
                <w:sz w:val="15"/>
              </w:rPr>
              <w:t xml:space="preserve"> = 0.0196</w:t>
            </w:r>
          </w:p>
        </w:tc>
        <w:tc>
          <w:tcPr>
            <w:tcW w:w="1627" w:type="dxa"/>
            <w:shd w:val="clear" w:color="auto" w:fill="FFF2CC"/>
            <w:vAlign w:val="center"/>
          </w:tcPr>
          <w:p w14:paraId="34A1559D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0.6184</w:t>
            </w:r>
          </w:p>
        </w:tc>
        <w:tc>
          <w:tcPr>
            <w:tcW w:w="1492" w:type="dxa"/>
            <w:shd w:val="clear" w:color="auto" w:fill="FFF2CC"/>
            <w:vAlign w:val="center"/>
          </w:tcPr>
          <w:p w14:paraId="2C5E3E47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0.5577</w:t>
            </w:r>
          </w:p>
        </w:tc>
        <w:tc>
          <w:tcPr>
            <w:tcW w:w="2155" w:type="dxa"/>
            <w:shd w:val="clear" w:color="auto" w:fill="FFF2CC"/>
            <w:vAlign w:val="center"/>
          </w:tcPr>
          <w:p w14:paraId="36880641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Strongest </w:t>
            </w:r>
            <w:proofErr w:type="spellStart"/>
            <w:r>
              <w:rPr>
                <w:sz w:val="15"/>
              </w:rPr>
              <w:t>pQTL</w:t>
            </w:r>
            <w:proofErr w:type="spellEnd"/>
            <w:r>
              <w:rPr>
                <w:sz w:val="15"/>
              </w:rPr>
              <w:t xml:space="preserve"> evidence; concordant positive estimates and no obvious heterogeneity or pleiotropy.</w:t>
            </w:r>
          </w:p>
        </w:tc>
      </w:tr>
      <w:tr w:rsidR="004F19CB" w14:paraId="1E2CD137" w14:textId="77777777">
        <w:trPr>
          <w:jc w:val="center"/>
        </w:trPr>
        <w:tc>
          <w:tcPr>
            <w:tcW w:w="1758" w:type="dxa"/>
            <w:shd w:val="clear" w:color="auto" w:fill="F2F5F9"/>
            <w:vAlign w:val="center"/>
          </w:tcPr>
          <w:p w14:paraId="04CC7B3F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HMG20B</w:t>
            </w:r>
          </w:p>
        </w:tc>
        <w:tc>
          <w:tcPr>
            <w:tcW w:w="1758" w:type="dxa"/>
            <w:shd w:val="clear" w:color="auto" w:fill="F2F5F9"/>
            <w:vAlign w:val="center"/>
          </w:tcPr>
          <w:p w14:paraId="33A0D4DD" w14:textId="77777777" w:rsidR="004F19CB" w:rsidRDefault="006D33CA">
            <w:pPr>
              <w:spacing w:after="0" w:line="240" w:lineRule="auto"/>
              <w:jc w:val="center"/>
            </w:pPr>
            <w:proofErr w:type="spellStart"/>
            <w:r>
              <w:rPr>
                <w:sz w:val="15"/>
              </w:rPr>
              <w:t>eQTL</w:t>
            </w:r>
            <w:proofErr w:type="spellEnd"/>
          </w:p>
        </w:tc>
        <w:tc>
          <w:tcPr>
            <w:tcW w:w="1758" w:type="dxa"/>
            <w:shd w:val="clear" w:color="auto" w:fill="F2F5F9"/>
            <w:vAlign w:val="center"/>
          </w:tcPr>
          <w:p w14:paraId="3C12E5DF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5</w:t>
            </w:r>
          </w:p>
        </w:tc>
        <w:tc>
          <w:tcPr>
            <w:tcW w:w="1758" w:type="dxa"/>
            <w:shd w:val="clear" w:color="auto" w:fill="F2F5F9"/>
            <w:vAlign w:val="center"/>
          </w:tcPr>
          <w:p w14:paraId="3C096FB5" w14:textId="77777777" w:rsidR="004F19CB" w:rsidRDefault="006D33CA">
            <w:pPr>
              <w:spacing w:after="0" w:line="240" w:lineRule="auto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1.324 (1.055-1.662), </w:t>
            </w:r>
          </w:p>
          <w:p w14:paraId="510F4879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5"/>
              </w:rPr>
              <w:t>P</w:t>
            </w:r>
            <w:r>
              <w:rPr>
                <w:sz w:val="15"/>
              </w:rPr>
              <w:t xml:space="preserve"> = 0.0154</w:t>
            </w:r>
          </w:p>
        </w:tc>
        <w:tc>
          <w:tcPr>
            <w:tcW w:w="1758" w:type="dxa"/>
            <w:shd w:val="clear" w:color="auto" w:fill="F2F5F9"/>
            <w:vAlign w:val="center"/>
          </w:tcPr>
          <w:p w14:paraId="525C1C01" w14:textId="77777777" w:rsidR="004F19CB" w:rsidRDefault="006D33CA">
            <w:pPr>
              <w:spacing w:after="0" w:line="240" w:lineRule="auto"/>
              <w:jc w:val="center"/>
              <w:rPr>
                <w:sz w:val="15"/>
              </w:rPr>
            </w:pPr>
            <w:r>
              <w:rPr>
                <w:sz w:val="15"/>
              </w:rPr>
              <w:t>1.467 (0.939-2.289),</w:t>
            </w:r>
          </w:p>
          <w:p w14:paraId="32AB283B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 </w:t>
            </w:r>
            <w:r>
              <w:rPr>
                <w:i/>
                <w:iCs/>
                <w:sz w:val="15"/>
              </w:rPr>
              <w:t>P</w:t>
            </w:r>
            <w:r>
              <w:rPr>
                <w:sz w:val="15"/>
              </w:rPr>
              <w:t xml:space="preserve"> = 0.1905</w:t>
            </w:r>
          </w:p>
        </w:tc>
        <w:tc>
          <w:tcPr>
            <w:tcW w:w="1758" w:type="dxa"/>
            <w:shd w:val="clear" w:color="auto" w:fill="F2F5F9"/>
            <w:vAlign w:val="center"/>
          </w:tcPr>
          <w:p w14:paraId="6B333F6A" w14:textId="77777777" w:rsidR="004F19CB" w:rsidRDefault="006D33CA">
            <w:pPr>
              <w:spacing w:after="0" w:line="240" w:lineRule="auto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1.230 (0.928-1.629), </w:t>
            </w:r>
          </w:p>
          <w:p w14:paraId="2814B980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5"/>
              </w:rPr>
              <w:t xml:space="preserve">P </w:t>
            </w:r>
            <w:r>
              <w:rPr>
                <w:sz w:val="15"/>
              </w:rPr>
              <w:t>= 0.1493</w:t>
            </w:r>
          </w:p>
        </w:tc>
        <w:tc>
          <w:tcPr>
            <w:tcW w:w="1627" w:type="dxa"/>
            <w:shd w:val="clear" w:color="auto" w:fill="F2F5F9"/>
            <w:vAlign w:val="center"/>
          </w:tcPr>
          <w:p w14:paraId="3E1D1DDF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0.7571</w:t>
            </w:r>
          </w:p>
        </w:tc>
        <w:tc>
          <w:tcPr>
            <w:tcW w:w="1492" w:type="dxa"/>
            <w:shd w:val="clear" w:color="auto" w:fill="F2F5F9"/>
            <w:vAlign w:val="center"/>
          </w:tcPr>
          <w:p w14:paraId="7E0FBA97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0.6374</w:t>
            </w:r>
          </w:p>
        </w:tc>
        <w:tc>
          <w:tcPr>
            <w:tcW w:w="2155" w:type="dxa"/>
            <w:shd w:val="clear" w:color="auto" w:fill="F2F5F9"/>
            <w:vAlign w:val="center"/>
          </w:tcPr>
          <w:p w14:paraId="3C76371B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Supportive </w:t>
            </w:r>
            <w:proofErr w:type="spellStart"/>
            <w:r>
              <w:rPr>
                <w:sz w:val="15"/>
              </w:rPr>
              <w:t>eQTL</w:t>
            </w:r>
            <w:proofErr w:type="spellEnd"/>
            <w:r>
              <w:rPr>
                <w:sz w:val="15"/>
              </w:rPr>
              <w:t xml:space="preserve"> evidence.</w:t>
            </w:r>
          </w:p>
        </w:tc>
      </w:tr>
      <w:tr w:rsidR="004F19CB" w14:paraId="48B25147" w14:textId="77777777">
        <w:trPr>
          <w:jc w:val="center"/>
        </w:trPr>
        <w:tc>
          <w:tcPr>
            <w:tcW w:w="1758" w:type="dxa"/>
            <w:shd w:val="clear" w:color="auto" w:fill="FFFFFF" w:themeFill="background1"/>
            <w:vAlign w:val="center"/>
          </w:tcPr>
          <w:p w14:paraId="3862EC9E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HDHD3</w:t>
            </w:r>
          </w:p>
        </w:tc>
        <w:tc>
          <w:tcPr>
            <w:tcW w:w="1758" w:type="dxa"/>
            <w:shd w:val="clear" w:color="auto" w:fill="FFFFFF" w:themeFill="background1"/>
            <w:vAlign w:val="center"/>
          </w:tcPr>
          <w:p w14:paraId="461C47BC" w14:textId="77777777" w:rsidR="004F19CB" w:rsidRDefault="006D33CA">
            <w:pPr>
              <w:spacing w:after="0" w:line="240" w:lineRule="auto"/>
              <w:jc w:val="center"/>
            </w:pPr>
            <w:proofErr w:type="spellStart"/>
            <w:r>
              <w:rPr>
                <w:sz w:val="15"/>
              </w:rPr>
              <w:t>eQTL</w:t>
            </w:r>
            <w:proofErr w:type="spellEnd"/>
          </w:p>
        </w:tc>
        <w:tc>
          <w:tcPr>
            <w:tcW w:w="1758" w:type="dxa"/>
            <w:shd w:val="clear" w:color="auto" w:fill="FFFFFF" w:themeFill="background1"/>
            <w:vAlign w:val="center"/>
          </w:tcPr>
          <w:p w14:paraId="45F8C513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3</w:t>
            </w:r>
          </w:p>
        </w:tc>
        <w:tc>
          <w:tcPr>
            <w:tcW w:w="1758" w:type="dxa"/>
            <w:shd w:val="clear" w:color="auto" w:fill="FFFFFF" w:themeFill="background1"/>
            <w:vAlign w:val="center"/>
          </w:tcPr>
          <w:p w14:paraId="73AD3235" w14:textId="77777777" w:rsidR="004F19CB" w:rsidRDefault="006D33CA">
            <w:pPr>
              <w:spacing w:after="0" w:line="240" w:lineRule="auto"/>
              <w:jc w:val="center"/>
              <w:rPr>
                <w:sz w:val="15"/>
              </w:rPr>
            </w:pPr>
            <w:r>
              <w:rPr>
                <w:sz w:val="15"/>
              </w:rPr>
              <w:t>1.078 (1.011-1.150),</w:t>
            </w:r>
          </w:p>
          <w:p w14:paraId="566BFFF5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 </w:t>
            </w:r>
            <w:r>
              <w:rPr>
                <w:i/>
                <w:iCs/>
                <w:sz w:val="15"/>
              </w:rPr>
              <w:t>P</w:t>
            </w:r>
            <w:r>
              <w:rPr>
                <w:sz w:val="15"/>
              </w:rPr>
              <w:t xml:space="preserve"> = 0.0225</w:t>
            </w:r>
          </w:p>
        </w:tc>
        <w:tc>
          <w:tcPr>
            <w:tcW w:w="1758" w:type="dxa"/>
            <w:shd w:val="clear" w:color="auto" w:fill="FFFFFF" w:themeFill="background1"/>
            <w:vAlign w:val="center"/>
          </w:tcPr>
          <w:p w14:paraId="084738A4" w14:textId="77777777" w:rsidR="004F19CB" w:rsidRDefault="006D33CA">
            <w:pPr>
              <w:spacing w:after="0" w:line="240" w:lineRule="auto"/>
              <w:jc w:val="center"/>
              <w:rPr>
                <w:sz w:val="15"/>
              </w:rPr>
            </w:pPr>
            <w:r>
              <w:rPr>
                <w:sz w:val="15"/>
              </w:rPr>
              <w:t>0.981 (0.848-1.135),</w:t>
            </w:r>
          </w:p>
          <w:p w14:paraId="2F54AEDD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5"/>
              </w:rPr>
              <w:t xml:space="preserve"> P</w:t>
            </w:r>
            <w:r>
              <w:rPr>
                <w:sz w:val="15"/>
              </w:rPr>
              <w:t xml:space="preserve"> = 0.8402</w:t>
            </w:r>
          </w:p>
        </w:tc>
        <w:tc>
          <w:tcPr>
            <w:tcW w:w="1758" w:type="dxa"/>
            <w:shd w:val="clear" w:color="auto" w:fill="FFFFFF" w:themeFill="background1"/>
            <w:vAlign w:val="center"/>
          </w:tcPr>
          <w:p w14:paraId="5EC53278" w14:textId="77777777" w:rsidR="004F19CB" w:rsidRDefault="006D33CA">
            <w:pPr>
              <w:spacing w:after="0" w:line="240" w:lineRule="auto"/>
              <w:jc w:val="center"/>
              <w:rPr>
                <w:sz w:val="15"/>
              </w:rPr>
            </w:pPr>
            <w:r>
              <w:rPr>
                <w:sz w:val="15"/>
              </w:rPr>
              <w:t xml:space="preserve">1.071 (1.006-1.141), </w:t>
            </w:r>
          </w:p>
          <w:p w14:paraId="4E2E0BCC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5"/>
              </w:rPr>
              <w:t>P</w:t>
            </w:r>
            <w:r>
              <w:rPr>
                <w:sz w:val="15"/>
              </w:rPr>
              <w:t xml:space="preserve"> = 0.0324</w:t>
            </w:r>
          </w:p>
        </w:tc>
        <w:tc>
          <w:tcPr>
            <w:tcW w:w="1627" w:type="dxa"/>
            <w:shd w:val="clear" w:color="auto" w:fill="FFFFFF" w:themeFill="background1"/>
            <w:vAlign w:val="center"/>
          </w:tcPr>
          <w:p w14:paraId="578761A8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0.3486</w:t>
            </w:r>
          </w:p>
        </w:tc>
        <w:tc>
          <w:tcPr>
            <w:tcW w:w="1492" w:type="dxa"/>
            <w:shd w:val="clear" w:color="auto" w:fill="FFFFFF" w:themeFill="background1"/>
            <w:vAlign w:val="center"/>
          </w:tcPr>
          <w:p w14:paraId="7FBA4DFB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>0.3939</w:t>
            </w: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294EA23A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5"/>
              </w:rPr>
              <w:t xml:space="preserve">Supportive </w:t>
            </w:r>
            <w:proofErr w:type="spellStart"/>
            <w:r>
              <w:rPr>
                <w:sz w:val="15"/>
              </w:rPr>
              <w:t>eQTL</w:t>
            </w:r>
            <w:proofErr w:type="spellEnd"/>
            <w:r>
              <w:rPr>
                <w:sz w:val="15"/>
              </w:rPr>
              <w:t xml:space="preserve"> evidence; limited by a small number of instruments.</w:t>
            </w:r>
          </w:p>
        </w:tc>
      </w:tr>
    </w:tbl>
    <w:p w14:paraId="7BE4F232" w14:textId="105E00AE" w:rsidR="004F19CB" w:rsidRDefault="006D33CA">
      <w:pPr>
        <w:spacing w:before="120" w:after="120"/>
      </w:pPr>
      <w:r>
        <w:rPr>
          <w:sz w:val="16"/>
        </w:rPr>
        <w:t xml:space="preserve">CI, confidence interval; </w:t>
      </w:r>
      <w:proofErr w:type="spellStart"/>
      <w:r>
        <w:rPr>
          <w:sz w:val="16"/>
        </w:rPr>
        <w:t>eQTL</w:t>
      </w:r>
      <w:proofErr w:type="spellEnd"/>
      <w:r>
        <w:rPr>
          <w:sz w:val="16"/>
        </w:rPr>
        <w:t xml:space="preserve">, expression quantitative trait locus; IVW, inverse-variance weighted; MR, Mendelian randomization; OR, odds ratio; </w:t>
      </w:r>
      <w:proofErr w:type="spellStart"/>
      <w:r>
        <w:rPr>
          <w:sz w:val="16"/>
        </w:rPr>
        <w:t>pQTL</w:t>
      </w:r>
      <w:proofErr w:type="spellEnd"/>
      <w:r>
        <w:rPr>
          <w:sz w:val="16"/>
        </w:rPr>
        <w:t>, protein quantitative trait locus; SNP, single nucleotide polymorphism.</w:t>
      </w:r>
    </w:p>
    <w:p w14:paraId="7A9FD1E6" w14:textId="388FDE25" w:rsidR="00EB05F2" w:rsidRDefault="00EB05F2">
      <w:pPr>
        <w:spacing w:before="120" w:after="120"/>
        <w:rPr>
          <w:b/>
        </w:rPr>
      </w:pPr>
    </w:p>
    <w:p w14:paraId="024A0D75" w14:textId="77777777" w:rsidR="00EB05F2" w:rsidRDefault="00EB05F2">
      <w:pPr>
        <w:spacing w:before="120" w:after="120"/>
        <w:rPr>
          <w:b/>
        </w:rPr>
      </w:pPr>
    </w:p>
    <w:p w14:paraId="192C6D77" w14:textId="57E86608" w:rsidR="004F19CB" w:rsidRDefault="006D33CA">
      <w:pPr>
        <w:spacing w:before="120" w:after="120"/>
      </w:pPr>
      <w:r>
        <w:rPr>
          <w:b/>
        </w:rPr>
        <w:t xml:space="preserve">Supplementary Table 2. Sensitivity analyses for the </w:t>
      </w:r>
      <w:proofErr w:type="spellStart"/>
      <w:r>
        <w:rPr>
          <w:b/>
        </w:rPr>
        <w:t>pQTL</w:t>
      </w:r>
      <w:proofErr w:type="spellEnd"/>
      <w:r>
        <w:rPr>
          <w:b/>
        </w:rPr>
        <w:t>-based MR analyses of HMG20B and HDHD3.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52"/>
        <w:gridCol w:w="1152"/>
        <w:gridCol w:w="2232"/>
        <w:gridCol w:w="2232"/>
        <w:gridCol w:w="2232"/>
        <w:gridCol w:w="5040"/>
        <w:gridCol w:w="1655"/>
      </w:tblGrid>
      <w:tr w:rsidR="004F19CB" w14:paraId="29726EB8" w14:textId="77777777">
        <w:trPr>
          <w:tblHeader/>
          <w:jc w:val="center"/>
        </w:trPr>
        <w:tc>
          <w:tcPr>
            <w:tcW w:w="1152" w:type="dxa"/>
            <w:shd w:val="clear" w:color="auto" w:fill="5B1B1D"/>
            <w:vAlign w:val="center"/>
          </w:tcPr>
          <w:p w14:paraId="5870271A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6"/>
              </w:rPr>
              <w:t>Gene</w:t>
            </w:r>
          </w:p>
        </w:tc>
        <w:tc>
          <w:tcPr>
            <w:tcW w:w="1152" w:type="dxa"/>
            <w:shd w:val="clear" w:color="auto" w:fill="5B1B1D"/>
            <w:vAlign w:val="center"/>
          </w:tcPr>
          <w:p w14:paraId="6198E51D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6"/>
              </w:rPr>
              <w:t>Omics layer</w:t>
            </w:r>
          </w:p>
        </w:tc>
        <w:tc>
          <w:tcPr>
            <w:tcW w:w="2232" w:type="dxa"/>
            <w:shd w:val="clear" w:color="auto" w:fill="5B1B1D"/>
            <w:vAlign w:val="center"/>
          </w:tcPr>
          <w:p w14:paraId="419A6D1D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6"/>
              </w:rPr>
              <w:t>IVW heterogeneity</w:t>
            </w:r>
          </w:p>
        </w:tc>
        <w:tc>
          <w:tcPr>
            <w:tcW w:w="2232" w:type="dxa"/>
            <w:shd w:val="clear" w:color="auto" w:fill="5B1B1D"/>
            <w:vAlign w:val="center"/>
          </w:tcPr>
          <w:p w14:paraId="5C58DABC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6"/>
              </w:rPr>
              <w:t>MR-Egger heterogeneity</w:t>
            </w:r>
          </w:p>
        </w:tc>
        <w:tc>
          <w:tcPr>
            <w:tcW w:w="2232" w:type="dxa"/>
            <w:shd w:val="clear" w:color="auto" w:fill="5B1B1D"/>
            <w:vAlign w:val="center"/>
          </w:tcPr>
          <w:p w14:paraId="57CC3909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6"/>
              </w:rPr>
              <w:t>MR-Egger intercept</w:t>
            </w:r>
          </w:p>
        </w:tc>
        <w:tc>
          <w:tcPr>
            <w:tcW w:w="5040" w:type="dxa"/>
            <w:shd w:val="clear" w:color="auto" w:fill="5B1B1D"/>
            <w:vAlign w:val="center"/>
          </w:tcPr>
          <w:p w14:paraId="50B4E6D6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6"/>
              </w:rPr>
              <w:t>Interpretive note</w:t>
            </w:r>
          </w:p>
        </w:tc>
        <w:tc>
          <w:tcPr>
            <w:tcW w:w="1655" w:type="dxa"/>
            <w:shd w:val="clear" w:color="auto" w:fill="5B1B1D"/>
            <w:vAlign w:val="center"/>
          </w:tcPr>
          <w:p w14:paraId="47086E0B" w14:textId="77777777" w:rsidR="004F19CB" w:rsidRDefault="006D33CA">
            <w:pPr>
              <w:spacing w:after="0" w:line="240" w:lineRule="auto"/>
              <w:jc w:val="center"/>
            </w:pPr>
            <w:r>
              <w:rPr>
                <w:b/>
                <w:color w:val="FFFFFF"/>
                <w:sz w:val="16"/>
              </w:rPr>
              <w:t>MR-PRESSO global test</w:t>
            </w:r>
          </w:p>
        </w:tc>
      </w:tr>
      <w:tr w:rsidR="004F19CB" w14:paraId="10FA7025" w14:textId="77777777">
        <w:trPr>
          <w:jc w:val="center"/>
        </w:trPr>
        <w:tc>
          <w:tcPr>
            <w:tcW w:w="1152" w:type="dxa"/>
            <w:shd w:val="clear" w:color="auto" w:fill="FFF2CC"/>
            <w:vAlign w:val="center"/>
          </w:tcPr>
          <w:p w14:paraId="260E50B4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6"/>
              </w:rPr>
              <w:t>HMG20B</w:t>
            </w:r>
          </w:p>
        </w:tc>
        <w:tc>
          <w:tcPr>
            <w:tcW w:w="1152" w:type="dxa"/>
            <w:shd w:val="clear" w:color="auto" w:fill="FFF2CC"/>
            <w:vAlign w:val="center"/>
          </w:tcPr>
          <w:p w14:paraId="0E3AC44A" w14:textId="77777777" w:rsidR="004F19CB" w:rsidRDefault="006D33CA">
            <w:pPr>
              <w:spacing w:after="0" w:line="240" w:lineRule="auto"/>
              <w:jc w:val="center"/>
            </w:pPr>
            <w:proofErr w:type="spellStart"/>
            <w:r>
              <w:rPr>
                <w:sz w:val="16"/>
              </w:rPr>
              <w:t>pQTL</w:t>
            </w:r>
            <w:proofErr w:type="spellEnd"/>
          </w:p>
        </w:tc>
        <w:tc>
          <w:tcPr>
            <w:tcW w:w="2232" w:type="dxa"/>
            <w:shd w:val="clear" w:color="auto" w:fill="FFF2CC"/>
            <w:vAlign w:val="center"/>
          </w:tcPr>
          <w:p w14:paraId="7F88F583" w14:textId="77777777" w:rsidR="004F19CB" w:rsidRDefault="006D33CA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Q = 34.716, df = 23, </w:t>
            </w:r>
          </w:p>
          <w:p w14:paraId="443FB05B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6"/>
              </w:rPr>
              <w:t>P</w:t>
            </w:r>
            <w:r>
              <w:rPr>
                <w:sz w:val="16"/>
              </w:rPr>
              <w:t xml:space="preserve"> = 0.0555</w:t>
            </w:r>
          </w:p>
        </w:tc>
        <w:tc>
          <w:tcPr>
            <w:tcW w:w="2232" w:type="dxa"/>
            <w:shd w:val="clear" w:color="auto" w:fill="FFF2CC"/>
            <w:vAlign w:val="center"/>
          </w:tcPr>
          <w:p w14:paraId="5A5D6002" w14:textId="77777777" w:rsidR="004F19CB" w:rsidRDefault="006D33CA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Q = 31.418, df = 22, </w:t>
            </w:r>
          </w:p>
          <w:p w14:paraId="4B391B78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6"/>
              </w:rPr>
              <w:t>P</w:t>
            </w:r>
            <w:r>
              <w:rPr>
                <w:sz w:val="16"/>
              </w:rPr>
              <w:t xml:space="preserve"> = 0.0879</w:t>
            </w:r>
          </w:p>
        </w:tc>
        <w:tc>
          <w:tcPr>
            <w:tcW w:w="2232" w:type="dxa"/>
            <w:shd w:val="clear" w:color="auto" w:fill="FFF2CC"/>
            <w:vAlign w:val="center"/>
          </w:tcPr>
          <w:p w14:paraId="68DFB643" w14:textId="77777777" w:rsidR="004F19CB" w:rsidRDefault="006D33CA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-0.0158 (SE 0.0104), </w:t>
            </w:r>
          </w:p>
          <w:p w14:paraId="69602937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6"/>
              </w:rPr>
              <w:t>P</w:t>
            </w:r>
            <w:r>
              <w:rPr>
                <w:sz w:val="16"/>
              </w:rPr>
              <w:t xml:space="preserve"> = 0.1428</w:t>
            </w:r>
          </w:p>
        </w:tc>
        <w:tc>
          <w:tcPr>
            <w:tcW w:w="5040" w:type="dxa"/>
            <w:shd w:val="clear" w:color="auto" w:fill="FFF2CC"/>
            <w:vAlign w:val="center"/>
          </w:tcPr>
          <w:p w14:paraId="291A0D01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6"/>
              </w:rPr>
              <w:t>Leave-one-out analysis was visually stable. Funnel plot retained because heterogeneity was borderline.</w:t>
            </w:r>
          </w:p>
        </w:tc>
        <w:tc>
          <w:tcPr>
            <w:tcW w:w="1655" w:type="dxa"/>
            <w:shd w:val="clear" w:color="auto" w:fill="FFF2CC"/>
            <w:vAlign w:val="center"/>
          </w:tcPr>
          <w:p w14:paraId="6771BA06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6"/>
              </w:rPr>
              <w:t>P</w:t>
            </w:r>
            <w:r>
              <w:rPr>
                <w:sz w:val="16"/>
              </w:rPr>
              <w:t xml:space="preserve"> = 0.079</w:t>
            </w:r>
          </w:p>
        </w:tc>
      </w:tr>
      <w:tr w:rsidR="004F19CB" w14:paraId="1F738FBA" w14:textId="77777777">
        <w:trPr>
          <w:jc w:val="center"/>
        </w:trPr>
        <w:tc>
          <w:tcPr>
            <w:tcW w:w="1152" w:type="dxa"/>
            <w:shd w:val="clear" w:color="auto" w:fill="FFF2CC"/>
            <w:vAlign w:val="center"/>
          </w:tcPr>
          <w:p w14:paraId="72ACE77F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6"/>
              </w:rPr>
              <w:t>HDHD3</w:t>
            </w:r>
          </w:p>
        </w:tc>
        <w:tc>
          <w:tcPr>
            <w:tcW w:w="1152" w:type="dxa"/>
            <w:shd w:val="clear" w:color="auto" w:fill="FFF2CC"/>
            <w:vAlign w:val="center"/>
          </w:tcPr>
          <w:p w14:paraId="6E39EBD8" w14:textId="77777777" w:rsidR="004F19CB" w:rsidRDefault="006D33CA">
            <w:pPr>
              <w:spacing w:after="0" w:line="240" w:lineRule="auto"/>
              <w:jc w:val="center"/>
            </w:pPr>
            <w:proofErr w:type="spellStart"/>
            <w:r>
              <w:rPr>
                <w:sz w:val="16"/>
              </w:rPr>
              <w:t>pQTL</w:t>
            </w:r>
            <w:proofErr w:type="spellEnd"/>
          </w:p>
        </w:tc>
        <w:tc>
          <w:tcPr>
            <w:tcW w:w="2232" w:type="dxa"/>
            <w:shd w:val="clear" w:color="auto" w:fill="FFF2CC"/>
            <w:vAlign w:val="center"/>
          </w:tcPr>
          <w:p w14:paraId="3F19AF49" w14:textId="77777777" w:rsidR="004F19CB" w:rsidRDefault="006D33CA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Q = 16.578, df = 19, </w:t>
            </w:r>
          </w:p>
          <w:p w14:paraId="57665A10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6"/>
              </w:rPr>
              <w:t>P</w:t>
            </w:r>
            <w:r>
              <w:rPr>
                <w:sz w:val="16"/>
              </w:rPr>
              <w:t xml:space="preserve"> = 0.6184</w:t>
            </w:r>
          </w:p>
        </w:tc>
        <w:tc>
          <w:tcPr>
            <w:tcW w:w="2232" w:type="dxa"/>
            <w:shd w:val="clear" w:color="auto" w:fill="FFF2CC"/>
            <w:vAlign w:val="center"/>
          </w:tcPr>
          <w:p w14:paraId="0C99E9CA" w14:textId="77777777" w:rsidR="004F19CB" w:rsidRDefault="006D33CA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Q = 16.221, df = 18, </w:t>
            </w:r>
          </w:p>
          <w:p w14:paraId="07AA92EC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6"/>
              </w:rPr>
              <w:t>P</w:t>
            </w:r>
            <w:r>
              <w:rPr>
                <w:sz w:val="16"/>
              </w:rPr>
              <w:t xml:space="preserve"> = 0.5771</w:t>
            </w:r>
          </w:p>
        </w:tc>
        <w:tc>
          <w:tcPr>
            <w:tcW w:w="2232" w:type="dxa"/>
            <w:shd w:val="clear" w:color="auto" w:fill="FFF2CC"/>
            <w:vAlign w:val="center"/>
          </w:tcPr>
          <w:p w14:paraId="35D3257A" w14:textId="77777777" w:rsidR="004F19CB" w:rsidRDefault="006D33CA">
            <w:pPr>
              <w:spacing w:after="0"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0.0061 (SE 0.0102), </w:t>
            </w:r>
          </w:p>
          <w:p w14:paraId="00518693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6"/>
              </w:rPr>
              <w:t>P</w:t>
            </w:r>
            <w:r>
              <w:rPr>
                <w:sz w:val="16"/>
              </w:rPr>
              <w:t xml:space="preserve"> = 0.5577</w:t>
            </w:r>
          </w:p>
        </w:tc>
        <w:tc>
          <w:tcPr>
            <w:tcW w:w="5040" w:type="dxa"/>
            <w:shd w:val="clear" w:color="auto" w:fill="FFF2CC"/>
            <w:vAlign w:val="center"/>
          </w:tcPr>
          <w:p w14:paraId="52A4734B" w14:textId="77777777" w:rsidR="004F19CB" w:rsidRDefault="006D33CA">
            <w:pPr>
              <w:spacing w:after="0" w:line="240" w:lineRule="auto"/>
              <w:jc w:val="center"/>
            </w:pPr>
            <w:r>
              <w:rPr>
                <w:sz w:val="16"/>
              </w:rPr>
              <w:t>Leave-one-out analysis was visually stable. No obvious heterogeneity or directional pleiotropy was detected.</w:t>
            </w:r>
          </w:p>
        </w:tc>
        <w:tc>
          <w:tcPr>
            <w:tcW w:w="1655" w:type="dxa"/>
            <w:shd w:val="clear" w:color="auto" w:fill="FFF2CC"/>
            <w:vAlign w:val="center"/>
          </w:tcPr>
          <w:p w14:paraId="09E7DF70" w14:textId="77777777" w:rsidR="004F19CB" w:rsidRDefault="006D33CA">
            <w:pPr>
              <w:spacing w:after="0" w:line="240" w:lineRule="auto"/>
              <w:jc w:val="center"/>
            </w:pPr>
            <w:r>
              <w:rPr>
                <w:i/>
                <w:iCs/>
                <w:sz w:val="16"/>
              </w:rPr>
              <w:t>P</w:t>
            </w:r>
            <w:r>
              <w:rPr>
                <w:sz w:val="16"/>
              </w:rPr>
              <w:t xml:space="preserve"> = 0.552</w:t>
            </w:r>
          </w:p>
        </w:tc>
      </w:tr>
    </w:tbl>
    <w:p w14:paraId="2F5D835A" w14:textId="60445579" w:rsidR="004F19CB" w:rsidRDefault="006D33CA">
      <w:pPr>
        <w:spacing w:before="120" w:after="120"/>
      </w:pPr>
      <w:r>
        <w:rPr>
          <w:sz w:val="16"/>
        </w:rPr>
        <w:t xml:space="preserve">IVW, inverse-variance weighted; MR, Mendelian randomization; MR-PRESSO, Mendelian Randomization Pleiotropy </w:t>
      </w:r>
      <w:proofErr w:type="spellStart"/>
      <w:r>
        <w:rPr>
          <w:sz w:val="16"/>
        </w:rPr>
        <w:t>RESidual</w:t>
      </w:r>
      <w:proofErr w:type="spellEnd"/>
      <w:r>
        <w:rPr>
          <w:sz w:val="16"/>
        </w:rPr>
        <w:t xml:space="preserve"> Sum and Outlier; </w:t>
      </w:r>
      <w:proofErr w:type="spellStart"/>
      <w:r>
        <w:rPr>
          <w:sz w:val="16"/>
        </w:rPr>
        <w:t>pQTL</w:t>
      </w:r>
      <w:proofErr w:type="spellEnd"/>
      <w:r>
        <w:rPr>
          <w:sz w:val="16"/>
        </w:rPr>
        <w:t>, protein quantitative trait locus; SE, standard error.</w:t>
      </w:r>
    </w:p>
    <w:p w14:paraId="3184D0B0" w14:textId="77777777" w:rsidR="004F19CB" w:rsidRDefault="004F19CB">
      <w:pPr>
        <w:sectPr w:rsidR="004F19CB">
          <w:pgSz w:w="16834" w:h="11909" w:orient="landscape"/>
          <w:pgMar w:top="576" w:right="504" w:bottom="576" w:left="504" w:header="720" w:footer="720" w:gutter="0"/>
          <w:cols w:space="720"/>
          <w:docGrid w:linePitch="360"/>
        </w:sectPr>
      </w:pPr>
    </w:p>
    <w:p w14:paraId="4F46C43B" w14:textId="77777777" w:rsidR="004F19CB" w:rsidRDefault="006D33CA">
      <w:pPr>
        <w:spacing w:after="80"/>
        <w:jc w:val="center"/>
      </w:pPr>
      <w:r>
        <w:rPr>
          <w:noProof/>
        </w:rPr>
        <w:lastRenderedPageBreak/>
        <w:drawing>
          <wp:inline distT="0" distB="0" distL="114300" distR="114300" wp14:anchorId="7CC58F28" wp14:editId="4211E140">
            <wp:extent cx="6583680" cy="5985510"/>
            <wp:effectExtent l="0" t="0" r="762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598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2F288" w14:textId="7BDB4790" w:rsidR="004F19CB" w:rsidRDefault="006D33CA">
      <w:pPr>
        <w:spacing w:before="120" w:after="120"/>
        <w:jc w:val="both"/>
      </w:pPr>
      <w:r>
        <w:rPr>
          <w:b/>
        </w:rPr>
        <w:t xml:space="preserve">Supplementary </w:t>
      </w:r>
      <w:r w:rsidR="00F02443" w:rsidRPr="00F02443">
        <w:rPr>
          <w:b/>
        </w:rPr>
        <w:t>Fig. 1.</w:t>
      </w:r>
      <w:r>
        <w:rPr>
          <w:b/>
        </w:rPr>
        <w:t xml:space="preserve"> Sensitivity analyses for the HMG20B </w:t>
      </w:r>
      <w:proofErr w:type="spellStart"/>
      <w:r>
        <w:rPr>
          <w:b/>
        </w:rPr>
        <w:t>pQTL</w:t>
      </w:r>
      <w:proofErr w:type="spellEnd"/>
      <w:r>
        <w:rPr>
          <w:b/>
        </w:rPr>
        <w:t xml:space="preserve">-based MR analysis of temporomandibular joint disorders. </w:t>
      </w:r>
      <w:r>
        <w:t xml:space="preserve">(A) Scatter plot showing the causal effect estimates of different MR methods, including inverse-variance weighted (IVW), MR-Egger, weighted median, and weighted mode. (B) Forest plot showing the effect estimates of individual SNPs and the overall estimates from the IVW and MR-Egger methods. (C) Funnel plot used to assess the symmetry of individual SNP effect estimates and to visually evaluate potential heterogeneity. (D) Leave-one-out analysis showing the influence of each single SNP on the overall causal estimate. MR, Mendelian randomization; </w:t>
      </w:r>
      <w:proofErr w:type="spellStart"/>
      <w:r>
        <w:t>pQTL</w:t>
      </w:r>
      <w:proofErr w:type="spellEnd"/>
      <w:r>
        <w:t>, protein quantitative trait locus; SNP, single nucleotide polymorphism.</w:t>
      </w:r>
    </w:p>
    <w:p w14:paraId="657F4935" w14:textId="77777777" w:rsidR="004F19CB" w:rsidRDefault="006D33CA">
      <w:pPr>
        <w:spacing w:after="80"/>
        <w:jc w:val="center"/>
      </w:pPr>
      <w:r>
        <w:rPr>
          <w:noProof/>
        </w:rPr>
        <w:lastRenderedPageBreak/>
        <w:drawing>
          <wp:inline distT="0" distB="0" distL="114300" distR="114300" wp14:anchorId="42FB277F" wp14:editId="38270569">
            <wp:extent cx="6583680" cy="5937250"/>
            <wp:effectExtent l="0" t="0" r="762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83680" cy="593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8757B" w14:textId="4143BBE7" w:rsidR="004F19CB" w:rsidRDefault="006D33CA">
      <w:pPr>
        <w:spacing w:before="120" w:after="120"/>
        <w:jc w:val="both"/>
      </w:pPr>
      <w:r>
        <w:rPr>
          <w:b/>
        </w:rPr>
        <w:t xml:space="preserve">Supplementary </w:t>
      </w:r>
      <w:r w:rsidR="00F02443" w:rsidRPr="00F02443">
        <w:rPr>
          <w:b/>
        </w:rPr>
        <w:t xml:space="preserve">Fig. </w:t>
      </w:r>
      <w:r w:rsidR="00F02443">
        <w:rPr>
          <w:b/>
        </w:rPr>
        <w:t>2</w:t>
      </w:r>
      <w:r w:rsidR="00F02443" w:rsidRPr="00F02443">
        <w:rPr>
          <w:b/>
        </w:rPr>
        <w:t>.</w:t>
      </w:r>
      <w:r>
        <w:rPr>
          <w:b/>
        </w:rPr>
        <w:t xml:space="preserve"> </w:t>
      </w:r>
      <w:r w:rsidR="00F02443">
        <w:rPr>
          <w:b/>
        </w:rPr>
        <w:t xml:space="preserve"> </w:t>
      </w:r>
      <w:r>
        <w:rPr>
          <w:b/>
        </w:rPr>
        <w:t xml:space="preserve">Sensitivity analyses for the HDHD3 </w:t>
      </w:r>
      <w:proofErr w:type="spellStart"/>
      <w:r>
        <w:rPr>
          <w:b/>
        </w:rPr>
        <w:t>pQTL</w:t>
      </w:r>
      <w:proofErr w:type="spellEnd"/>
      <w:r>
        <w:rPr>
          <w:b/>
        </w:rPr>
        <w:t xml:space="preserve">-based MR analysis of temporomandibular joint disorders. </w:t>
      </w:r>
      <w:r>
        <w:t xml:space="preserve">(A) Scatter plot showing the causal effect estimates of different MR methods, including inverse-variance weighted (IVW), MR-Egger, weighted median, and weighted mode. (B) Forest plot showing the effect estimates of individual SNPs and the overall estimates from the IVW and MR-Egger methods. (C) Funnel plot used to assess the symmetry of individual SNP effect estimates and to visually evaluate potential heterogeneity. (D) Leave-one-out analysis showing the influence of each single SNP on the overall causal estimate. MR, Mendelian randomization; </w:t>
      </w:r>
      <w:proofErr w:type="spellStart"/>
      <w:r>
        <w:t>pQTL</w:t>
      </w:r>
      <w:proofErr w:type="spellEnd"/>
      <w:r>
        <w:t>, protein quantitative trait locus; SNP, single nucleotide polymorphism.</w:t>
      </w:r>
    </w:p>
    <w:p w14:paraId="2E2FD9DC" w14:textId="77777777" w:rsidR="004F19CB" w:rsidRDefault="004F19CB"/>
    <w:sectPr w:rsidR="004F19CB">
      <w:pgSz w:w="11909" w:h="1683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25704" w14:textId="77777777" w:rsidR="00495BDD" w:rsidRDefault="00495BDD">
      <w:pPr>
        <w:spacing w:line="240" w:lineRule="auto"/>
      </w:pPr>
      <w:r>
        <w:separator/>
      </w:r>
    </w:p>
  </w:endnote>
  <w:endnote w:type="continuationSeparator" w:id="0">
    <w:p w14:paraId="42BA05D3" w14:textId="77777777" w:rsidR="00495BDD" w:rsidRDefault="00495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46ECB" w14:textId="77777777" w:rsidR="00495BDD" w:rsidRDefault="00495BDD">
      <w:pPr>
        <w:spacing w:after="0"/>
      </w:pPr>
      <w:r>
        <w:separator/>
      </w:r>
    </w:p>
  </w:footnote>
  <w:footnote w:type="continuationSeparator" w:id="0">
    <w:p w14:paraId="13E38360" w14:textId="77777777" w:rsidR="00495BDD" w:rsidRDefault="00495B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15B0C25"/>
    <w:rsid w:val="00106154"/>
    <w:rsid w:val="00495BDD"/>
    <w:rsid w:val="004F19CB"/>
    <w:rsid w:val="006D33CA"/>
    <w:rsid w:val="00EB05F2"/>
    <w:rsid w:val="00F02443"/>
    <w:rsid w:val="015B0C25"/>
    <w:rsid w:val="4A2C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D3D2038"/>
  <w15:docId w15:val="{A6712BC1-6140-4692-A936-06173FFD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0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B05F2"/>
    <w:rPr>
      <w:rFonts w:ascii="Times New Roman" w:hAnsi="Times New Roman"/>
      <w:sz w:val="18"/>
      <w:szCs w:val="18"/>
      <w:lang w:eastAsia="en-US"/>
    </w:rPr>
  </w:style>
  <w:style w:type="paragraph" w:styleId="a5">
    <w:name w:val="footer"/>
    <w:basedOn w:val="a"/>
    <w:link w:val="a6"/>
    <w:rsid w:val="00EB05F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B05F2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526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Xibei</dc:creator>
  <cp:lastModifiedBy>editor</cp:lastModifiedBy>
  <cp:revision>4</cp:revision>
  <dcterms:created xsi:type="dcterms:W3CDTF">2026-06-03T07:36:00Z</dcterms:created>
  <dcterms:modified xsi:type="dcterms:W3CDTF">2026-06-03T07:44:00Z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49FE0656B3144344AB0361A655F97C11_11</vt:lpwstr>
  </property>
  <property fmtid="{D5CDD505-2E9C-101B-9397-08002B2CF9AE}" pid="4" name="KSOTemplateDocerSaveRecord">
    <vt:lpwstr>eyJoZGlkIjoiMDljYzUzMWQ4OWI0YzBkYjYzMDRhZTY5ZjZkYmFmYTgiLCJ1c2VySWQiOiIzODE3MjIzMDQifQ==</vt:lpwstr>
  </property>
</Properties>
</file>